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7CC" w:rsidRPr="008857CC" w:rsidRDefault="008857CC" w:rsidP="008857CC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8"/>
          <w:szCs w:val="24"/>
          <w:lang w:val="es-ES" w:eastAsia="es-ES"/>
        </w:rPr>
      </w:pPr>
    </w:p>
    <w:p w:rsidR="008857CC" w:rsidRPr="008857CC" w:rsidRDefault="008857CC" w:rsidP="008857CC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8"/>
          <w:szCs w:val="24"/>
          <w:lang w:val="es-ES" w:eastAsia="es-ES"/>
        </w:rPr>
      </w:pPr>
    </w:p>
    <w:p w:rsidR="008857CC" w:rsidRPr="008857CC" w:rsidRDefault="008857CC" w:rsidP="008857CC">
      <w:pPr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 w:val="24"/>
          <w:szCs w:val="24"/>
          <w:lang w:val="es-ES" w:eastAsia="es-ES"/>
        </w:rPr>
      </w:pPr>
    </w:p>
    <w:p w:rsidR="008857CC" w:rsidRPr="0010264B" w:rsidRDefault="003F22EF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  <w:r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 xml:space="preserve">INFORME ÁREA </w:t>
      </w:r>
      <w:r w:rsidR="00595D2A"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DE TRABAJO SOCIAL</w:t>
      </w:r>
      <w:r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 xml:space="preserve"> </w:t>
      </w:r>
      <w:r w:rsidR="008857CC"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DEL</w:t>
      </w: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  <w:r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 xml:space="preserve"> CENTRO PARA EL DESARROLLO DE LAS MUJERES </w:t>
      </w:r>
    </w:p>
    <w:p w:rsidR="008857CC" w:rsidRPr="0010264B" w:rsidRDefault="008857CC" w:rsidP="0010264B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  <w:r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CDM</w:t>
      </w:r>
    </w:p>
    <w:p w:rsidR="008857CC" w:rsidRPr="0010264B" w:rsidRDefault="008857CC" w:rsidP="008857CC">
      <w:pPr>
        <w:spacing w:after="0" w:line="240" w:lineRule="auto"/>
        <w:jc w:val="both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both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both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both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  <w:r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MEZQUITIC, JALISCO</w:t>
      </w:r>
    </w:p>
    <w:p w:rsidR="008857CC" w:rsidRPr="0010264B" w:rsidRDefault="008857CC" w:rsidP="008857CC">
      <w:pPr>
        <w:spacing w:after="0" w:line="240" w:lineRule="auto"/>
        <w:jc w:val="both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both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  <w:r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INSTITUTO JALISCIENSE DE LAS MUJERES</w:t>
      </w: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10264B">
      <w:pPr>
        <w:spacing w:after="0" w:line="240" w:lineRule="auto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8857CC" w:rsidP="008857CC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B50630" w:rsidP="008857CC">
      <w:pPr>
        <w:spacing w:after="0" w:line="240" w:lineRule="auto"/>
        <w:jc w:val="right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  <w:r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OCTUBRE</w:t>
      </w:r>
      <w:r w:rsidR="008857CC"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 xml:space="preserve">  201</w:t>
      </w:r>
      <w:r w:rsidR="00207252" w:rsidRPr="0010264B"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  <w:t>8</w:t>
      </w:r>
    </w:p>
    <w:p w:rsidR="00890FA9" w:rsidRDefault="00890FA9" w:rsidP="00890FA9">
      <w:pPr>
        <w:spacing w:after="0"/>
        <w:rPr>
          <w:rFonts w:eastAsia="Times New Roman" w:cstheme="minorHAnsi"/>
          <w:b/>
          <w:color w:val="000000"/>
          <w:sz w:val="32"/>
          <w:szCs w:val="32"/>
          <w:lang w:val="es-ES" w:eastAsia="es-ES"/>
        </w:rPr>
      </w:pPr>
    </w:p>
    <w:p w:rsidR="008857CC" w:rsidRPr="0010264B" w:rsidRDefault="004A3CEE" w:rsidP="00890FA9">
      <w:pPr>
        <w:spacing w:after="0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lastRenderedPageBreak/>
        <w:t>INFORMACIÓN DEL CDM</w:t>
      </w:r>
    </w:p>
    <w:p w:rsidR="008857CC" w:rsidRPr="0010264B" w:rsidRDefault="008857CC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2"/>
        <w:gridCol w:w="4322"/>
      </w:tblGrid>
      <w:tr w:rsidR="008857CC" w:rsidRPr="0010264B" w:rsidTr="00614336">
        <w:trPr>
          <w:trHeight w:val="275"/>
        </w:trPr>
        <w:tc>
          <w:tcPr>
            <w:tcW w:w="8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8857CC" w:rsidRPr="0010264B" w:rsidRDefault="008857CC" w:rsidP="00890FA9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Datos generales del CDM:</w:t>
            </w:r>
          </w:p>
        </w:tc>
      </w:tr>
      <w:tr w:rsidR="008857CC" w:rsidRPr="0010264B" w:rsidTr="00614336">
        <w:trPr>
          <w:trHeight w:val="27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 xml:space="preserve">Entidad: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Jalisco</w:t>
            </w:r>
          </w:p>
        </w:tc>
      </w:tr>
      <w:tr w:rsidR="008857CC" w:rsidRPr="0010264B" w:rsidTr="00614336">
        <w:trPr>
          <w:trHeight w:val="55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Nombre de la IMEF/ Municipio: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 xml:space="preserve">Instituto Jalisciense de las Mujeres/ Instancia Municipal de las Mujeres </w:t>
            </w:r>
            <w:proofErr w:type="spellStart"/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Mezquitic</w:t>
            </w:r>
            <w:proofErr w:type="spellEnd"/>
          </w:p>
        </w:tc>
      </w:tr>
    </w:tbl>
    <w:p w:rsidR="008857CC" w:rsidRPr="0010264B" w:rsidRDefault="008857CC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2"/>
        <w:gridCol w:w="4322"/>
      </w:tblGrid>
      <w:tr w:rsidR="008857CC" w:rsidRPr="0010264B" w:rsidTr="00614336">
        <w:trPr>
          <w:trHeight w:val="275"/>
        </w:trPr>
        <w:tc>
          <w:tcPr>
            <w:tcW w:w="8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8857CC" w:rsidRPr="0010264B" w:rsidRDefault="008857CC" w:rsidP="00890FA9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Información del Área Responsable:</w:t>
            </w:r>
          </w:p>
        </w:tc>
      </w:tr>
      <w:tr w:rsidR="008857CC" w:rsidRPr="0010264B" w:rsidTr="00614336">
        <w:trPr>
          <w:trHeight w:val="55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 xml:space="preserve">Nombre (s) de las (los) responsables de la Meta: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CC" w:rsidRPr="0010264B" w:rsidRDefault="006D33B5" w:rsidP="00890FA9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6D33B5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 xml:space="preserve">Lic. Alejandro Chávez Zamudio </w:t>
            </w:r>
          </w:p>
        </w:tc>
      </w:tr>
      <w:tr w:rsidR="008857CC" w:rsidRPr="0010264B" w:rsidTr="00614336">
        <w:trPr>
          <w:trHeight w:val="27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Lugar de realización: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proofErr w:type="spellStart"/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Mezquitic</w:t>
            </w:r>
            <w:proofErr w:type="spellEnd"/>
          </w:p>
        </w:tc>
      </w:tr>
      <w:tr w:rsidR="008857CC" w:rsidRPr="0010264B" w:rsidTr="00614336">
        <w:trPr>
          <w:trHeight w:val="27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Período de elaboración del informe: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B50630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Octubre</w:t>
            </w:r>
            <w:r w:rsidR="008857CC"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 xml:space="preserve"> de 201</w:t>
            </w:r>
            <w:r w:rsidR="00207252"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8</w:t>
            </w:r>
          </w:p>
        </w:tc>
      </w:tr>
      <w:tr w:rsidR="008857CC" w:rsidRPr="0010264B" w:rsidTr="00614336">
        <w:trPr>
          <w:trHeight w:val="27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Tipo de atención que se proporciona: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7CC" w:rsidRPr="0010264B" w:rsidRDefault="008857CC" w:rsidP="00890FA9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10264B"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  <w:t>Capacitación y asesorías</w:t>
            </w:r>
          </w:p>
        </w:tc>
      </w:tr>
    </w:tbl>
    <w:p w:rsidR="008857CC" w:rsidRPr="0010264B" w:rsidRDefault="008857CC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A456F7" w:rsidRDefault="00A456F7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A456F7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 xml:space="preserve">ANTECEDENTES 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es-ES"/>
        </w:rPr>
      </w:pPr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>El Programa de Fortalecimiento a la Transversalidad de la Perspectiva de Género tiene una cobertura Nacional y su </w:t>
      </w:r>
      <w:r w:rsidRPr="00A456F7">
        <w:rPr>
          <w:rFonts w:eastAsia="Times New Roman" w:cstheme="minorHAnsi"/>
          <w:bCs/>
          <w:color w:val="000000"/>
          <w:sz w:val="24"/>
          <w:szCs w:val="24"/>
          <w:lang w:eastAsia="es-ES"/>
        </w:rPr>
        <w:t xml:space="preserve">población objetivo </w:t>
      </w:r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>son las Instancias de las Mujeres en las Entidades Federativas (IMEF) y las Instancias Municipales de las Mujeres (IMM), es decir, los </w:t>
      </w: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t>mecanismos para el adelanto de las mujeres</w:t>
      </w:r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> (MAM), que cumplan con los criterios de elegibilidad establecidos en las Reglas de Operación del Programa. En este contexto, el PFTPG impulsa y facilita el acceso de los MAM a los subsidios y herramientas que fortalezcan sus capacidades organizacionales, técnicas y operativas.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es-ES"/>
        </w:rPr>
      </w:pPr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>Con la convicción de la importancia que tiene el Desarrollo Humano con Perspectiva de Género, para lograr la igualdad sust</w:t>
      </w:r>
      <w:r w:rsidR="00890FA9">
        <w:rPr>
          <w:rFonts w:eastAsia="Times New Roman" w:cstheme="minorHAnsi"/>
          <w:color w:val="000000"/>
          <w:sz w:val="24"/>
          <w:szCs w:val="24"/>
          <w:lang w:eastAsia="es-ES"/>
        </w:rPr>
        <w:t xml:space="preserve">antiva en las localidades, el </w:t>
      </w:r>
      <w:proofErr w:type="spellStart"/>
      <w:r w:rsidR="007219B5">
        <w:rPr>
          <w:rFonts w:eastAsia="Times New Roman" w:cstheme="minorHAnsi"/>
          <w:color w:val="000000"/>
          <w:sz w:val="24"/>
          <w:szCs w:val="24"/>
          <w:lang w:eastAsia="es-ES"/>
        </w:rPr>
        <w:t>Inm</w:t>
      </w:r>
      <w:r w:rsidR="007219B5" w:rsidRPr="00A456F7">
        <w:rPr>
          <w:rFonts w:eastAsia="Times New Roman" w:cstheme="minorHAnsi"/>
          <w:color w:val="000000"/>
          <w:sz w:val="24"/>
          <w:szCs w:val="24"/>
          <w:lang w:eastAsia="es-ES"/>
        </w:rPr>
        <w:t>ujeres</w:t>
      </w:r>
      <w:proofErr w:type="spellEnd"/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ha emprendido la instalación de Centros para el Desarrollo de las Mujeres (CDM). 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es-ES"/>
        </w:rPr>
      </w:pPr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 xml:space="preserve">La instalación del CDM está sustentada en las atribuciones conferidas al </w:t>
      </w:r>
      <w:proofErr w:type="spellStart"/>
      <w:r w:rsidR="007219B5" w:rsidRPr="00A456F7">
        <w:rPr>
          <w:rFonts w:eastAsia="Times New Roman" w:cstheme="minorHAnsi"/>
          <w:color w:val="000000"/>
          <w:sz w:val="24"/>
          <w:szCs w:val="24"/>
          <w:lang w:eastAsia="es-ES"/>
        </w:rPr>
        <w:t>Inmujeres</w:t>
      </w:r>
      <w:proofErr w:type="spellEnd"/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como órgano de la Administración Pública Federal, encargada de promover y fomentar las condiciones que posibiliten la no discriminación, la igualdad de oportunidades y de trato entre los géneros; el ejercicio pleno de todos los derechos de las mujeres y su participación equitativa en la vida política, cultural, económica y social del país; y en la </w:t>
      </w:r>
      <w:r w:rsidRPr="00A456F7">
        <w:rPr>
          <w:rFonts w:eastAsia="Times New Roman" w:cstheme="minorHAnsi"/>
          <w:color w:val="000000"/>
          <w:sz w:val="24"/>
          <w:szCs w:val="24"/>
          <w:lang w:eastAsia="es-ES"/>
        </w:rPr>
        <w:lastRenderedPageBreak/>
        <w:t xml:space="preserve">ejecución de la política de coordinación permanente entre las dependencias y entidades de la Administración Pública Federal, así como de las autoridades estatales, municipales y de los sectores social y privado en relación con las mujeres. 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A456F7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Así pues, el Programa de Fortalecimiento a la Transversalidad de la Perspectiva de Género (PFTPG), a través del ejercicio del proyecto denominado Centros para el Desarrollo de las Mujeres ha estado operando en el municipio de </w:t>
      </w:r>
      <w:proofErr w:type="spellStart"/>
      <w:r w:rsidRPr="00A456F7">
        <w:rPr>
          <w:rFonts w:eastAsia="Times New Roman" w:cstheme="minorHAnsi"/>
          <w:color w:val="000000"/>
          <w:sz w:val="24"/>
          <w:szCs w:val="24"/>
          <w:lang w:val="es-ES" w:eastAsia="es-ES"/>
        </w:rPr>
        <w:t>Mezquitic</w:t>
      </w:r>
      <w:proofErr w:type="spellEnd"/>
      <w:r w:rsidRPr="00A456F7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desde el 2013, hace cinco años. En el último año, la temática se centró en la capacitación y sensibilización a las personas con poder de decisión de la Administración Pública Municipal en la institucionalización de la Perspectiva de Género en las Políticas Públicas a nivel local, con la finalidad de brindarles las herramientas necesarias para que elaboren, promuevan y ejecuten políticas públicas destinadas a alcanzar la igualdad sustantiva, promover el empoderamiento de las mujeres y trabajar en la atención a la violencia hacia las mujeres; todo esto, apegado a los instrumentos y mecanismos internacionales y nacionales de protección de los Derechos Humanos de las mujeres. 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A456F7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>INTRODUCCIÓN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b/>
          <w:iCs/>
          <w:color w:val="000000"/>
          <w:sz w:val="24"/>
          <w:szCs w:val="24"/>
          <w:lang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iCs/>
          <w:color w:val="000000"/>
          <w:sz w:val="24"/>
          <w:szCs w:val="24"/>
          <w:lang w:eastAsia="es-ES"/>
        </w:rPr>
      </w:pP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t>El Instituto Nacional de las Mujeres reconoce que los avances en materia legislativa han sido fundamentales para la reivindicación de los derechos humanos de las mujeres y para alcanzar la igualdad formal, la igualdad jurídica entre mujeres y hombres; pero no garantizan la igualdad sustantiva, la igualdad de facto. Por ello es necesario generar políticas públicas de igualdad, que respondan a los marcos normativos a través de acciones encaminadas a lograr la igualdad en los hechos.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iCs/>
          <w:color w:val="000000"/>
          <w:sz w:val="24"/>
          <w:szCs w:val="24"/>
          <w:lang w:eastAsia="es-ES"/>
        </w:rPr>
      </w:pP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t>Para superar las innumerables inequidades en el desarrollo de las mujeres, resulta fundamental que los gobiernos estatales y municipales trabajen de manera coordinada en la implementación de acciones y estrategias con perspectiva de género, ya que esta, nos dará la pauta para transformar los planes con los que tradicionalmente se abordaban los problemas y sus soluciones desde un supuesto individuo neutro-universal sin diferencias sexuales, para reconocer las diferencias entre mujeres y hombres; es decir,  identificar las brechas de desigualdad y diseñar acciones que permitan eliminarlas.</w:t>
      </w: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iCs/>
          <w:color w:val="000000"/>
          <w:sz w:val="24"/>
          <w:szCs w:val="24"/>
          <w:lang w:eastAsia="es-ES"/>
        </w:rPr>
      </w:pPr>
    </w:p>
    <w:p w:rsidR="00A456F7" w:rsidRPr="00A456F7" w:rsidRDefault="00A456F7" w:rsidP="00890FA9">
      <w:pPr>
        <w:spacing w:after="0"/>
        <w:jc w:val="both"/>
        <w:rPr>
          <w:rFonts w:eastAsia="Times New Roman" w:cstheme="minorHAnsi"/>
          <w:iCs/>
          <w:color w:val="000000"/>
          <w:sz w:val="24"/>
          <w:szCs w:val="24"/>
          <w:lang w:eastAsia="es-ES"/>
        </w:rPr>
      </w:pP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t>En este sentido, la implementación de los </w:t>
      </w:r>
      <w:r w:rsidRPr="00A456F7">
        <w:rPr>
          <w:rFonts w:eastAsia="Times New Roman" w:cstheme="minorHAnsi"/>
          <w:bCs/>
          <w:iCs/>
          <w:color w:val="000000"/>
          <w:sz w:val="24"/>
          <w:szCs w:val="24"/>
          <w:lang w:eastAsia="es-ES"/>
        </w:rPr>
        <w:t xml:space="preserve">Centros para el Desarrollo de las Mujeres </w:t>
      </w: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t xml:space="preserve">a nivel municipal, tiene como eje central sensibilizar en la perspectiva de género para la </w:t>
      </w: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lastRenderedPageBreak/>
        <w:t xml:space="preserve">aplicación de acciones y estrategias que generen </w:t>
      </w:r>
      <w:r w:rsidR="003F22EF">
        <w:rPr>
          <w:rFonts w:eastAsia="Times New Roman" w:cstheme="minorHAnsi"/>
          <w:iCs/>
          <w:color w:val="000000"/>
          <w:sz w:val="24"/>
          <w:szCs w:val="24"/>
          <w:lang w:eastAsia="es-ES"/>
        </w:rPr>
        <w:t>las condiciones necesarias para</w:t>
      </w:r>
      <w:r w:rsidRPr="00A456F7">
        <w:rPr>
          <w:rFonts w:eastAsia="Times New Roman" w:cstheme="minorHAnsi"/>
          <w:iCs/>
          <w:color w:val="000000"/>
          <w:sz w:val="24"/>
          <w:szCs w:val="24"/>
          <w:lang w:eastAsia="es-ES"/>
        </w:rPr>
        <w:t xml:space="preserve"> promover y consolidar una cultura de igualdad entre mujeres y hombres, con un abordaje integral y profesional de las necesidades e intereses estratégicos de las mujeres en los municipios.</w:t>
      </w:r>
    </w:p>
    <w:p w:rsidR="002E0A03" w:rsidRDefault="002E0A03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2E0A03" w:rsidRPr="0010264B" w:rsidRDefault="002E0A03" w:rsidP="00890FA9">
      <w:pPr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8857CC" w:rsidRPr="00890FA9" w:rsidRDefault="003F22EF" w:rsidP="00890FA9">
      <w:pPr>
        <w:tabs>
          <w:tab w:val="left" w:pos="1770"/>
        </w:tabs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>INFORME DE OPERACIONES</w:t>
      </w:r>
    </w:p>
    <w:p w:rsidR="006613C5" w:rsidRDefault="006613C5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>CUALITATIVO</w:t>
      </w:r>
    </w:p>
    <w:p w:rsidR="00781989" w:rsidRDefault="00781989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5938FF" w:rsidRDefault="005938FF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>Como seguimiento de las actividades llevadas según el m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>odelo de operaciones de los CDM,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>después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de identificar las instituciones, servicios, programas y características 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>con las que cuenta e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>l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municipio se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>realizó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>un diagnó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stico con información proporcionada en mesas 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de trabajos y sondeos 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>realizados a grupos de mujeres, con el que se elaboró un proyecto y con el que se logró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integrar un grupo de mujeres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cautivo, principalmente lideresas con anterioridad identificadas, para formarlas con temas y proporcionarles diversas herramientas para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incidir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en </w:t>
      </w:r>
      <w:r w:rsidR="00680E5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su empoderamiento a nivel individual y colectivo. </w:t>
      </w:r>
    </w:p>
    <w:p w:rsidR="00977230" w:rsidRDefault="00977230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977230" w:rsidRDefault="00977230" w:rsidP="00977230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>Para la organización de la feria de servicios tuvimos complicaciones debido a que en el municipio hay muchas rivalidades políticas</w:t>
      </w:r>
      <w:r w:rsid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>, por esta razón el Ayuntamiento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presionó para hacer la reunión antes del cambio de la administración y al no ser posible</w:t>
      </w:r>
      <w:r w:rsid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>, la reunión se llevó a cabo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los primeros días después de entrar la administración lo que no permitió generar in</w:t>
      </w:r>
      <w:r w:rsid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>vitación para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algunas áreas de la nueva administración del H. Ayuntamiento ya que no habían definido muchos de las y los titulares que podrían estar involucradas/os. Por lo que se pensó la etapa de reconocimiento en dos </w:t>
      </w:r>
      <w:r w:rsid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>momentos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, </w:t>
      </w:r>
      <w:r w:rsidR="00B27D1F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el primero, 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>un convivió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</w:t>
      </w:r>
      <w:r w:rsid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>con las participantes y sus familiares, titulares del Ayuntamiento involucradas en el proceso del proyecto y las profesionistas y el profesionista del CD</w:t>
      </w:r>
      <w:r w:rsidR="00B27D1F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M; y el segundo, en una presentación con el nuevo ayuntamiento del proyecto llevado a cabo, sus objetivos,  su impacto en las mujeres y en sus familias y el beneficio que implica que estos proyectos se lleven a cabo como políticas públicas con perspectiva de género dentro del plan de trabajo para el beneficio de su municipio. </w:t>
      </w:r>
    </w:p>
    <w:p w:rsidR="00680E58" w:rsidRDefault="00680E58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172B83" w:rsidRDefault="00FC6F8D" w:rsidP="00FC6F8D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>Así que durante este mes nos reunimos con las</w:t>
      </w:r>
      <w:r w:rsidR="00024D8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mujeres y a algunas instituciones o dependencias del municipio</w:t>
      </w:r>
      <w:r w:rsidR="00B27D1F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para la primera etapa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del cierre</w:t>
      </w:r>
      <w:r w:rsidR="00024D8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, donde el objetivo era distinguir y reconocer el compromiso 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>de las usuarias</w:t>
      </w:r>
      <w:r w:rsidRP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ya </w:t>
      </w:r>
      <w:r w:rsidRPr="00FC6F8D">
        <w:rPr>
          <w:rFonts w:eastAsia="Times New Roman" w:cstheme="minorHAnsi"/>
          <w:color w:val="000000"/>
          <w:sz w:val="24"/>
          <w:szCs w:val="24"/>
          <w:lang w:val="es-ES" w:eastAsia="es-ES"/>
        </w:rPr>
        <w:t>que a partir de sus acciones han incidido de ma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nera favorable en su desarrollo integral y generando cambios en sus </w:t>
      </w: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lastRenderedPageBreak/>
        <w:t xml:space="preserve">comunidades. </w:t>
      </w:r>
      <w:r w:rsidR="00024D88">
        <w:rPr>
          <w:rFonts w:eastAsia="Times New Roman" w:cstheme="minorHAnsi"/>
          <w:color w:val="000000"/>
          <w:sz w:val="24"/>
          <w:szCs w:val="24"/>
          <w:lang w:val="es-ES" w:eastAsia="es-ES"/>
        </w:rPr>
        <w:t>En dicha reunión se establecieron algunos puntos como parte del programa, en un primer momento se reconoció el apoyo brindando por la titular de la Instancia Municipal de las Mujeres y agradecerles por la asistencia. En un segundo momento se quedó en el acuerdo en continuar en el asesoramiento a las mujeres para que accedan</w:t>
      </w:r>
      <w:r w:rsidR="00024D88" w:rsidRPr="00024D8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a programas, servicios y recursos que atiendan necesidades inmediatas </w:t>
      </w:r>
      <w:r w:rsidR="00024D8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a sus necesidades y puedan generar proyectos y bajar recursos para que impacten en su persona </w:t>
      </w:r>
      <w:r w:rsidR="00F802AA">
        <w:rPr>
          <w:rFonts w:eastAsia="Times New Roman" w:cstheme="minorHAnsi"/>
          <w:color w:val="000000"/>
          <w:sz w:val="24"/>
          <w:szCs w:val="24"/>
          <w:lang w:val="es-ES" w:eastAsia="es-ES"/>
        </w:rPr>
        <w:t>o de manera colectiva</w:t>
      </w:r>
      <w:r w:rsidR="00024D88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trayendo un beneficio y resolviendo problemáticas</w:t>
      </w:r>
      <w:r w:rsidR="00F802AA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en sus familias o comunidades.  E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>n un tercer momento se les habló</w:t>
      </w:r>
      <w:r w:rsidR="00F802AA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nuev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amente de la importancia de la </w:t>
      </w:r>
      <w:r w:rsidR="00F802AA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“Sororidad” para generar alianzas que nos lleven </w:t>
      </w:r>
      <w:r w:rsidR="007B31C5">
        <w:rPr>
          <w:rFonts w:eastAsia="Times New Roman" w:cstheme="minorHAnsi"/>
          <w:color w:val="000000"/>
          <w:sz w:val="24"/>
          <w:szCs w:val="24"/>
          <w:lang w:val="es-ES" w:eastAsia="es-ES"/>
        </w:rPr>
        <w:t>a</w:t>
      </w:r>
      <w:r w:rsidR="00F802AA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con</w:t>
      </w:r>
      <w:r w:rsidR="007B31C5">
        <w:rPr>
          <w:rFonts w:eastAsia="Times New Roman" w:cstheme="minorHAnsi"/>
          <w:color w:val="000000"/>
          <w:sz w:val="24"/>
          <w:szCs w:val="24"/>
          <w:lang w:val="es-ES" w:eastAsia="es-ES"/>
        </w:rPr>
        <w:t>struir proyectos con un</w:t>
      </w:r>
      <w:r w:rsidR="00F802AA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impacto positivo en otras mujeres que nos ayuden a disminuir la desigualdad que actualmente se vive. </w:t>
      </w:r>
      <w:r w:rsidR="0094280D">
        <w:rPr>
          <w:rFonts w:eastAsia="Times New Roman" w:cstheme="minorHAnsi"/>
          <w:color w:val="000000"/>
          <w:sz w:val="24"/>
          <w:szCs w:val="24"/>
          <w:lang w:val="es-ES" w:eastAsia="es-ES"/>
        </w:rPr>
        <w:t>En un cuarto punto se les pid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>ió</w:t>
      </w:r>
      <w:r w:rsidR="0094280D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 su participación, como parte del cierre, de manera individual explicarnos cómo se sintieron al participar en un proyecto e integrar al modelo. En un quinto punto se les pidió que nos apoyaran a realizar una evaluación con el objetivo de mejorar en la implementación de este tipo de proye</w:t>
      </w:r>
      <w:r w:rsidR="00172B83">
        <w:rPr>
          <w:rFonts w:eastAsia="Times New Roman" w:cstheme="minorHAnsi"/>
          <w:color w:val="000000"/>
          <w:sz w:val="24"/>
          <w:szCs w:val="24"/>
          <w:lang w:val="es-ES" w:eastAsia="es-ES"/>
        </w:rPr>
        <w:t>c</w:t>
      </w:r>
      <w:r w:rsidR="0094280D">
        <w:rPr>
          <w:rFonts w:eastAsia="Times New Roman" w:cstheme="minorHAnsi"/>
          <w:color w:val="000000"/>
          <w:sz w:val="24"/>
          <w:szCs w:val="24"/>
          <w:lang w:val="es-ES" w:eastAsia="es-ES"/>
        </w:rPr>
        <w:t>to. Por último, se realizó la entrega de constancias para reconocer su compromiso y al final un convivio.</w:t>
      </w:r>
    </w:p>
    <w:p w:rsidR="00680E58" w:rsidRDefault="00680E58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434B35" w:rsidRDefault="00434B35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Durante este mes una de las integrantes del modelo nos invitó a acudir a brindarles el tema “Sexualidad” a un grupo cautivo donde ella es líder. Durante la plática se habló de conceptos básicos referente a la sexualidad y como los estereotipos y roles de género no han permitido que las mujeres tengamos control sobre nuestros cuerpos, </w:t>
      </w:r>
      <w:r w:rsidR="00663F51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al final, nos hicieron preguntas sobre cómo hablar con sus hijos e hijas sobre sexualidad sin estereotipos para generar nuevas condiciones para ellos y ellas. </w:t>
      </w:r>
    </w:p>
    <w:p w:rsidR="00434B35" w:rsidRDefault="00434B35" w:rsidP="00890FA9">
      <w:pPr>
        <w:tabs>
          <w:tab w:val="left" w:pos="1770"/>
        </w:tabs>
        <w:spacing w:after="0"/>
        <w:jc w:val="both"/>
        <w:rPr>
          <w:rFonts w:ascii="SoberanaTexto-Regular" w:hAnsi="SoberanaTexto-Regular" w:cs="SoberanaTexto-Regular"/>
          <w:sz w:val="20"/>
          <w:szCs w:val="20"/>
        </w:rPr>
      </w:pPr>
    </w:p>
    <w:p w:rsidR="00434B35" w:rsidRDefault="00434B35" w:rsidP="00890FA9">
      <w:pPr>
        <w:tabs>
          <w:tab w:val="left" w:pos="1770"/>
        </w:tabs>
        <w:spacing w:after="0"/>
        <w:jc w:val="both"/>
        <w:rPr>
          <w:rFonts w:ascii="SoberanaTexto-Regular" w:hAnsi="SoberanaTexto-Regular" w:cs="SoberanaTexto-Regular"/>
          <w:sz w:val="20"/>
          <w:szCs w:val="20"/>
        </w:rPr>
      </w:pPr>
    </w:p>
    <w:p w:rsidR="002A60F2" w:rsidRPr="00722A09" w:rsidRDefault="0048094A" w:rsidP="002A60F2">
      <w:pPr>
        <w:spacing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>CUANTITATIVO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>TALLERES A PERSONAS CON PODER DE DECISIÓN DE LA ADMINISTRACIÓN PÚBLICA MUNICIPAL</w:t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No se realizaron talleres, puesto que están ocupados recibiendo la administración 2018-2021 y acomodándose en sus oficinas. </w:t>
      </w:r>
    </w:p>
    <w:p w:rsidR="00722A09" w:rsidRDefault="00722A09" w:rsidP="00722A09">
      <w:pPr>
        <w:spacing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722A09" w:rsidRDefault="00722A09" w:rsidP="00722A09">
      <w:pPr>
        <w:spacing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lastRenderedPageBreak/>
        <w:t>CAPACITACIÓN A POBLACIÓN ABIERTA</w:t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En este mes se llevaron a cabo 3 talleres en donde asistieron 62 mujeres. </w:t>
      </w: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6E04AFB7" wp14:editId="44D600CF">
            <wp:extent cx="4834647" cy="2869659"/>
            <wp:effectExtent l="0" t="0" r="4445" b="6985"/>
            <wp:docPr id="22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Los rangos de edad registrados son los siguientes: 15 a 29 años: 17 personas, de 30 a 44 años: 27 personas, de 45 a 59 años: 14 personas y de 60 o más: 4 personas.</w:t>
      </w:r>
    </w:p>
    <w:p w:rsidR="00722A09" w:rsidRDefault="00722A09" w:rsidP="00722A09">
      <w:pPr>
        <w:tabs>
          <w:tab w:val="left" w:pos="1770"/>
        </w:tabs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60E9CC74" wp14:editId="04557462">
            <wp:extent cx="4902740" cy="2801566"/>
            <wp:effectExtent l="0" t="0" r="12700" b="18415"/>
            <wp:docPr id="25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line="360" w:lineRule="auto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lastRenderedPageBreak/>
        <w:t>ESTADÍSTICA POR TIPO DE TALLER IMPARTIDO A POBLACIÓN ABIERTA: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Taller con la población de </w:t>
      </w:r>
      <w:proofErr w:type="spellStart"/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Mezquitic</w:t>
      </w:r>
      <w:proofErr w:type="spellEnd"/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. Asistieron un total de 31 mujeres. Tema: Sexualidad.       </w:t>
      </w: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5D5E78D7" wp14:editId="0C4EB483">
            <wp:extent cx="4293704" cy="2355574"/>
            <wp:effectExtent l="0" t="0" r="12065" b="6985"/>
            <wp:docPr id="26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Los rangos de edad registrados son los siguientes: 15 a 29 años: 3 personas, 30 a 44 años: 15 personas, 45 a 59 años: 9 personas y de 45 a 59 años: 4 personas.  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tabs>
          <w:tab w:val="left" w:pos="1770"/>
        </w:tabs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426FC85A" wp14:editId="5565F877">
            <wp:extent cx="4728519" cy="2644346"/>
            <wp:effectExtent l="0" t="0" r="15240" b="3810"/>
            <wp:docPr id="27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lastRenderedPageBreak/>
        <w:t xml:space="preserve">Taller con la población de </w:t>
      </w:r>
      <w:proofErr w:type="spellStart"/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Mezquitic</w:t>
      </w:r>
      <w:proofErr w:type="spellEnd"/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. Asistieron un total de 17 mujeres. Tema: Sororidad.        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43F9C9EB" wp14:editId="60C40A4B">
            <wp:extent cx="4610911" cy="2577830"/>
            <wp:effectExtent l="0" t="0" r="18415" b="13335"/>
            <wp:docPr id="33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Los rangos de edad registrados son los siguientes: de 15 a 29 años: 9 personas 30 a 44 años: 6 personas y de 45 a 59 años: 2 personas. 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5BCBDBDA" wp14:editId="36BE16A8">
            <wp:extent cx="5019473" cy="2431915"/>
            <wp:effectExtent l="0" t="0" r="10160" b="6985"/>
            <wp:docPr id="34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lastRenderedPageBreak/>
        <w:t xml:space="preserve">Taller con la población de </w:t>
      </w:r>
      <w:proofErr w:type="spellStart"/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Mezquitic</w:t>
      </w:r>
      <w:proofErr w:type="spellEnd"/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. Asistieron un total de 14 mujeres. Tema: Autoestima.        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35780A6A" wp14:editId="5934671D">
            <wp:extent cx="5068110" cy="2918298"/>
            <wp:effectExtent l="0" t="0" r="18415" b="15875"/>
            <wp:docPr id="35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Los rangos de edad registrados son los siguientes: de 15 a 29 años: 5 personas, de 30 a 44 años: 6 personas y de 45 a 59 años: 3 personas. </w:t>
      </w:r>
    </w:p>
    <w:p w:rsidR="00722A09" w:rsidRP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Default="00722A09" w:rsidP="00722A09">
      <w:pPr>
        <w:tabs>
          <w:tab w:val="left" w:pos="1770"/>
        </w:tabs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4A649EDF" wp14:editId="112FBAF7">
            <wp:extent cx="5076825" cy="2619375"/>
            <wp:effectExtent l="0" t="0" r="9525" b="9525"/>
            <wp:docPr id="36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line="360" w:lineRule="auto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lastRenderedPageBreak/>
        <w:t>ATENCIONES MEZQUITIC</w:t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Referente a las atenciones en el mes de octubre, se atendieron a un total de 3 mujeres y se dieron asesorías: 1 jurídica, 3 psicológicas y 3 trabajo social.</w:t>
      </w: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6F24430F" wp14:editId="5D2D9287">
            <wp:extent cx="4448175" cy="2419350"/>
            <wp:effectExtent l="0" t="0" r="9525" b="19050"/>
            <wp:docPr id="17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385B3D74" wp14:editId="1F516103">
            <wp:extent cx="5000017" cy="3200400"/>
            <wp:effectExtent l="0" t="0" r="10160" b="1905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22A09" w:rsidRPr="00722A09" w:rsidRDefault="00722A09" w:rsidP="00722A09">
      <w:pPr>
        <w:tabs>
          <w:tab w:val="left" w:pos="1770"/>
        </w:tabs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lastRenderedPageBreak/>
        <w:t>Las actividades de las/os usuarias/os fueron las siguientes:</w:t>
      </w:r>
    </w:p>
    <w:p w:rsidR="00722A09" w:rsidRPr="00722A09" w:rsidRDefault="00722A09" w:rsidP="00722A09">
      <w:pPr>
        <w:tabs>
          <w:tab w:val="left" w:pos="1770"/>
        </w:tabs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100369B7" wp14:editId="6DFB38BE">
            <wp:extent cx="5233481" cy="2996119"/>
            <wp:effectExtent l="0" t="0" r="24765" b="13970"/>
            <wp:docPr id="19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La localidad de procedencia de las/os usuarias/os se muestra a continuación:</w:t>
      </w:r>
    </w:p>
    <w:p w:rsidR="00722A09" w:rsidRPr="00722A09" w:rsidRDefault="00722A09" w:rsidP="00722A09">
      <w:pPr>
        <w:tabs>
          <w:tab w:val="left" w:pos="1770"/>
        </w:tabs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59BCB1C1" wp14:editId="36FC2623">
            <wp:extent cx="5181600" cy="2891481"/>
            <wp:effectExtent l="0" t="0" r="19050" b="23495"/>
            <wp:docPr id="20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lastRenderedPageBreak/>
        <w:t>El estado civil de las/os usuarias/os atendidas es:</w:t>
      </w:r>
    </w:p>
    <w:p w:rsidR="00722A09" w:rsidRPr="00722A09" w:rsidRDefault="00722A09" w:rsidP="00722A09">
      <w:pPr>
        <w:spacing w:line="360" w:lineRule="auto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024FCB36" wp14:editId="4A337676">
            <wp:extent cx="5457825" cy="3067050"/>
            <wp:effectExtent l="0" t="0" r="9525" b="19050"/>
            <wp:docPr id="5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t>Sus edades oscilaron dentro de los siguientes rangos: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722A09" w:rsidRPr="00722A09" w:rsidTr="00477C54">
        <w:tc>
          <w:tcPr>
            <w:tcW w:w="8978" w:type="dxa"/>
          </w:tcPr>
          <w:p w:rsidR="00722A09" w:rsidRPr="00722A09" w:rsidRDefault="00722A09" w:rsidP="00477C54">
            <w:pPr>
              <w:keepNext/>
              <w:spacing w:line="36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s-ES" w:eastAsia="es-ES"/>
              </w:rPr>
            </w:pPr>
            <w:r w:rsidRPr="00722A09">
              <w:rPr>
                <w:rFonts w:eastAsia="Times New Roman" w:cstheme="minorHAnsi"/>
                <w:noProof/>
                <w:color w:val="000000"/>
                <w:sz w:val="24"/>
                <w:szCs w:val="24"/>
                <w:lang w:eastAsia="es-MX"/>
              </w:rPr>
              <w:drawing>
                <wp:inline distT="0" distB="0" distL="0" distR="0" wp14:anchorId="33546E47" wp14:editId="4917695E">
                  <wp:extent cx="4486275" cy="2495550"/>
                  <wp:effectExtent l="0" t="0" r="9525" b="19050"/>
                  <wp:docPr id="9" name="Obje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</w:tbl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color w:val="000000"/>
          <w:sz w:val="24"/>
          <w:szCs w:val="24"/>
          <w:lang w:val="es-ES" w:eastAsia="es-ES"/>
        </w:rPr>
        <w:lastRenderedPageBreak/>
        <w:t>De las asesorías proporcionadas se desprenden los siguientes datos:</w:t>
      </w:r>
    </w:p>
    <w:p w:rsidR="00722A09" w:rsidRPr="00722A09" w:rsidRDefault="00722A09" w:rsidP="00722A09">
      <w:pPr>
        <w:spacing w:line="360" w:lineRule="auto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2232113E" wp14:editId="75CC460C">
            <wp:extent cx="5189838" cy="2776151"/>
            <wp:effectExtent l="0" t="0" r="11430" b="24765"/>
            <wp:docPr id="21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722A09" w:rsidRPr="00722A09" w:rsidRDefault="00722A09" w:rsidP="00722A09">
      <w:pPr>
        <w:spacing w:line="360" w:lineRule="auto"/>
        <w:jc w:val="center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 w:rsidRPr="00722A09">
        <w:rPr>
          <w:rFonts w:eastAsia="Times New Roman" w:cstheme="minorHAnsi"/>
          <w:noProof/>
          <w:color w:val="000000"/>
          <w:sz w:val="24"/>
          <w:szCs w:val="24"/>
          <w:lang w:eastAsia="es-MX"/>
        </w:rPr>
        <w:drawing>
          <wp:inline distT="0" distB="0" distL="0" distR="0" wp14:anchorId="38A821FC" wp14:editId="252CA27B">
            <wp:extent cx="5593492" cy="3122141"/>
            <wp:effectExtent l="0" t="0" r="26670" b="21590"/>
            <wp:docPr id="24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22A09" w:rsidRDefault="00722A09" w:rsidP="00722A09">
      <w:pPr>
        <w:tabs>
          <w:tab w:val="left" w:pos="1770"/>
        </w:tabs>
        <w:spacing w:after="0" w:line="360" w:lineRule="auto"/>
        <w:jc w:val="both"/>
        <w:rPr>
          <w:rFonts w:ascii="Arial" w:eastAsia="Times New Roman" w:hAnsi="Arial" w:cs="Times New Roman"/>
          <w:b/>
          <w:color w:val="000000"/>
          <w:sz w:val="24"/>
          <w:szCs w:val="24"/>
          <w:lang w:val="es-ES" w:eastAsia="es-ES"/>
        </w:rPr>
      </w:pPr>
    </w:p>
    <w:p w:rsidR="0048094A" w:rsidRPr="002A60F2" w:rsidRDefault="0048094A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361D1C" w:rsidRDefault="008857CC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  <w:r w:rsidRPr="002A60F2"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  <w:t xml:space="preserve">CONCLUSIONES Y RECOMENDACIONES </w:t>
      </w:r>
    </w:p>
    <w:p w:rsidR="00361D1C" w:rsidRDefault="00361D1C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b/>
          <w:color w:val="000000"/>
          <w:sz w:val="24"/>
          <w:szCs w:val="24"/>
          <w:lang w:val="es-ES" w:eastAsia="es-ES"/>
        </w:rPr>
      </w:pPr>
    </w:p>
    <w:p w:rsidR="00115E14" w:rsidRDefault="00361D1C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Cada municipio cuenta con ciertas particularidades referente a su población y sus </w:t>
      </w:r>
      <w:r w:rsidR="00115E14">
        <w:rPr>
          <w:rFonts w:eastAsia="Times New Roman" w:cstheme="minorHAnsi"/>
          <w:color w:val="000000"/>
          <w:sz w:val="24"/>
          <w:szCs w:val="24"/>
          <w:lang w:val="es-ES" w:eastAsia="es-ES"/>
        </w:rPr>
        <w:t>comportamientos, costumbres, prejuicios, rivalidades que dificultan el seguimiento con exactitud de los modelos planteados. Por lo que es fundamental adecuar y generar proyectos acordes al tipo de población referente a sus costumbres y cultura, características geográficas, dependencias y servicios que se en</w:t>
      </w:r>
      <w:r w:rsidR="003F22EF">
        <w:rPr>
          <w:rFonts w:eastAsia="Times New Roman" w:cstheme="minorHAnsi"/>
          <w:color w:val="000000"/>
          <w:sz w:val="24"/>
          <w:szCs w:val="24"/>
          <w:lang w:val="es-ES" w:eastAsia="es-ES"/>
        </w:rPr>
        <w:t>cuentran, partiendo de un diagnó</w:t>
      </w:r>
      <w:bookmarkStart w:id="0" w:name="_GoBack"/>
      <w:bookmarkEnd w:id="0"/>
      <w:r w:rsidR="00115E14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stico desde las necesidades sentidas y detectadas de la misma población. </w:t>
      </w:r>
    </w:p>
    <w:p w:rsidR="00115E14" w:rsidRDefault="00115E14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p w:rsidR="00C10DAE" w:rsidRPr="002A60F2" w:rsidRDefault="00115E14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color w:val="000000"/>
          <w:sz w:val="24"/>
          <w:szCs w:val="24"/>
          <w:lang w:val="es-ES" w:eastAsia="es-ES"/>
        </w:rPr>
        <w:t>Los cambios administrativos dificultaron el desarrollo de los proyectos llevados a cabo, ya nos limitaron el apoyo en material que se requería para llevar el proyecto</w:t>
      </w:r>
      <w:r w:rsidR="006623A8" w:rsidRPr="002A60F2">
        <w:rPr>
          <w:rFonts w:eastAsia="Times New Roman" w:cstheme="minorHAnsi"/>
          <w:color w:val="000000"/>
          <w:sz w:val="24"/>
          <w:szCs w:val="24"/>
          <w:lang w:val="es-ES" w:eastAsia="es-ES"/>
        </w:rPr>
        <w:t xml:space="preserve">. La colaboración interinstitucional es muy importante para llevar a cabo las actividades ya que se requiere trabajar de manera conjunta con otras dependencias para brindar una asesoría, acompañamiento y servicio con calidad. </w:t>
      </w:r>
    </w:p>
    <w:p w:rsidR="008857CC" w:rsidRPr="002A60F2" w:rsidRDefault="008857CC" w:rsidP="00890FA9">
      <w:pPr>
        <w:tabs>
          <w:tab w:val="left" w:pos="1770"/>
        </w:tabs>
        <w:spacing w:after="0"/>
        <w:jc w:val="both"/>
        <w:rPr>
          <w:rFonts w:eastAsia="Times New Roman" w:cstheme="minorHAnsi"/>
          <w:color w:val="000000"/>
          <w:sz w:val="24"/>
          <w:szCs w:val="24"/>
          <w:lang w:val="es-ES" w:eastAsia="es-ES"/>
        </w:rPr>
      </w:pPr>
    </w:p>
    <w:tbl>
      <w:tblPr>
        <w:tblW w:w="864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857CC" w:rsidRPr="002A60F2" w:rsidTr="00614336">
        <w:trPr>
          <w:trHeight w:val="1375"/>
        </w:trPr>
        <w:tc>
          <w:tcPr>
            <w:tcW w:w="8640" w:type="dxa"/>
          </w:tcPr>
          <w:p w:rsidR="008857CC" w:rsidRPr="002A60F2" w:rsidRDefault="008857CC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</w:p>
          <w:p w:rsidR="006D33B5" w:rsidRPr="002A60F2" w:rsidRDefault="006D33B5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  <w:r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 xml:space="preserve">Lic. Alejandro Chávez Zamudio </w:t>
            </w:r>
          </w:p>
          <w:p w:rsidR="008857CC" w:rsidRPr="002A60F2" w:rsidRDefault="00007F3E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  <w:r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>Coordinador CDM</w:t>
            </w:r>
          </w:p>
          <w:p w:rsidR="008857CC" w:rsidRPr="002A60F2" w:rsidRDefault="008857CC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</w:p>
          <w:p w:rsidR="008857CC" w:rsidRPr="002A60F2" w:rsidRDefault="008857CC" w:rsidP="00890FA9">
            <w:pPr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</w:p>
        </w:tc>
      </w:tr>
      <w:tr w:rsidR="008857CC" w:rsidRPr="002A60F2" w:rsidTr="00614336">
        <w:trPr>
          <w:trHeight w:val="913"/>
        </w:trPr>
        <w:tc>
          <w:tcPr>
            <w:tcW w:w="8640" w:type="dxa"/>
            <w:vAlign w:val="center"/>
          </w:tcPr>
          <w:p w:rsidR="008857CC" w:rsidRPr="002A60F2" w:rsidRDefault="008857CC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</w:p>
          <w:p w:rsidR="008857CC" w:rsidRPr="002A60F2" w:rsidRDefault="008857CC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  <w:r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 xml:space="preserve">Licda. </w:t>
            </w:r>
            <w:r w:rsidR="00E6611D"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 xml:space="preserve">Adriana Lorena </w:t>
            </w:r>
            <w:proofErr w:type="spellStart"/>
            <w:r w:rsidR="00E6611D"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>Marentes</w:t>
            </w:r>
            <w:proofErr w:type="spellEnd"/>
            <w:r w:rsidR="00E6611D"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 xml:space="preserve"> Salvatierra</w:t>
            </w:r>
          </w:p>
          <w:p w:rsidR="008857CC" w:rsidRPr="002A60F2" w:rsidRDefault="00212F1E" w:rsidP="00890FA9">
            <w:pPr>
              <w:jc w:val="center"/>
              <w:rPr>
                <w:rFonts w:eastAsiaTheme="minorEastAsia" w:cstheme="minorHAnsi"/>
                <w:b/>
                <w:sz w:val="24"/>
                <w:szCs w:val="24"/>
              </w:rPr>
            </w:pPr>
            <w:r w:rsidRPr="002A60F2">
              <w:rPr>
                <w:rFonts w:eastAsiaTheme="minorEastAsia" w:cstheme="minorHAnsi"/>
                <w:b/>
                <w:sz w:val="24"/>
                <w:szCs w:val="24"/>
              </w:rPr>
              <w:t>Trabajadora social</w:t>
            </w:r>
            <w:r w:rsidR="008857CC" w:rsidRPr="002A60F2">
              <w:rPr>
                <w:rFonts w:eastAsiaTheme="minorEastAsia" w:cstheme="minorHAnsi"/>
                <w:b/>
                <w:sz w:val="24"/>
                <w:szCs w:val="24"/>
              </w:rPr>
              <w:t xml:space="preserve"> del Centro para el Desarrollo de las Mujeres en </w:t>
            </w:r>
            <w:proofErr w:type="spellStart"/>
            <w:r w:rsidR="008857CC" w:rsidRPr="002A60F2">
              <w:rPr>
                <w:rFonts w:eastAsiaTheme="minorEastAsia" w:cstheme="minorHAnsi"/>
                <w:b/>
                <w:sz w:val="24"/>
                <w:szCs w:val="24"/>
              </w:rPr>
              <w:t>Mezquitic</w:t>
            </w:r>
            <w:proofErr w:type="spellEnd"/>
          </w:p>
          <w:p w:rsidR="008857CC" w:rsidRPr="002A60F2" w:rsidRDefault="008857CC" w:rsidP="00890FA9">
            <w:pPr>
              <w:jc w:val="center"/>
              <w:rPr>
                <w:rFonts w:eastAsiaTheme="minorEastAsia" w:cstheme="minorHAnsi"/>
                <w:b/>
                <w:color w:val="000000"/>
                <w:sz w:val="24"/>
                <w:szCs w:val="24"/>
              </w:rPr>
            </w:pPr>
            <w:r w:rsidRPr="002A60F2">
              <w:rPr>
                <w:rFonts w:eastAsiaTheme="minorEastAsia" w:cstheme="minorHAnsi"/>
                <w:b/>
                <w:color w:val="000000"/>
                <w:sz w:val="24"/>
                <w:szCs w:val="24"/>
              </w:rPr>
              <w:t>Responsable de la elaboración</w:t>
            </w:r>
          </w:p>
        </w:tc>
      </w:tr>
    </w:tbl>
    <w:p w:rsidR="00847691" w:rsidRDefault="00847691" w:rsidP="00890FA9"/>
    <w:sectPr w:rsidR="00847691" w:rsidSect="00890FA9">
      <w:headerReference w:type="default" r:id="rId24"/>
      <w:footerReference w:type="default" r:id="rId25"/>
      <w:pgSz w:w="12240" w:h="15840"/>
      <w:pgMar w:top="104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C13" w:rsidRDefault="00F46C13">
      <w:pPr>
        <w:spacing w:after="0" w:line="240" w:lineRule="auto"/>
      </w:pPr>
      <w:r>
        <w:separator/>
      </w:r>
    </w:p>
  </w:endnote>
  <w:endnote w:type="continuationSeparator" w:id="0">
    <w:p w:rsidR="00F46C13" w:rsidRDefault="00F46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Text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D3A" w:rsidRPr="00902CFC" w:rsidRDefault="00F36D3A" w:rsidP="00614336">
    <w:pPr>
      <w:tabs>
        <w:tab w:val="center" w:pos="4419"/>
        <w:tab w:val="right" w:pos="8838"/>
      </w:tabs>
      <w:jc w:val="center"/>
      <w:rPr>
        <w:rFonts w:ascii="Arial" w:hAnsi="Arial"/>
        <w:color w:val="000000"/>
        <w:sz w:val="16"/>
      </w:rPr>
    </w:pPr>
    <w:r w:rsidRPr="00902CFC">
      <w:rPr>
        <w:rFonts w:ascii="Arial" w:hAnsi="Arial"/>
        <w:color w:val="000000"/>
        <w:sz w:val="16"/>
      </w:rPr>
      <w:t>“Este producto es generado con recurso del programa de fortalecimiento a la transversalidad de la perspectiva de género. Empero el Instituto nacional de las mujeres no necesariamente comparte los puntos de vista expresados por las(los) autoras(es) del presente trabajo”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C13" w:rsidRDefault="00F46C13">
      <w:pPr>
        <w:spacing w:after="0" w:line="240" w:lineRule="auto"/>
      </w:pPr>
      <w:r>
        <w:separator/>
      </w:r>
    </w:p>
  </w:footnote>
  <w:footnote w:type="continuationSeparator" w:id="0">
    <w:p w:rsidR="00F46C13" w:rsidRDefault="00F46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7" w:type="dxa"/>
      <w:tblInd w:w="-136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77"/>
      <w:gridCol w:w="225"/>
      <w:gridCol w:w="225"/>
    </w:tblGrid>
    <w:tr w:rsidR="00F36D3A" w:rsidTr="00242DDB">
      <w:trPr>
        <w:trHeight w:val="1068"/>
      </w:trPr>
      <w:tc>
        <w:tcPr>
          <w:tcW w:w="9877" w:type="dxa"/>
          <w:tcMar>
            <w:left w:w="0" w:type="dxa"/>
            <w:right w:w="0" w:type="dxa"/>
          </w:tcMar>
        </w:tcPr>
        <w:p w:rsidR="00F36D3A" w:rsidRDefault="00F36D3A" w:rsidP="00242DDB">
          <w:pPr>
            <w:keepNext/>
            <w:spacing w:before="240" w:after="60"/>
            <w:rPr>
              <w:rFonts w:ascii="Cambria" w:hAnsi="Cambria"/>
              <w:b/>
              <w:color w:val="000000"/>
              <w:sz w:val="32"/>
            </w:rPr>
          </w:pPr>
          <w:r>
            <w:rPr>
              <w:b/>
              <w:noProof/>
              <w:color w:val="000000"/>
              <w:lang w:eastAsia="es-MX"/>
            </w:rPr>
            <w:t xml:space="preserve">                        </w:t>
          </w:r>
          <w:r>
            <w:rPr>
              <w:b/>
              <w:noProof/>
              <w:color w:val="000000"/>
              <w:lang w:eastAsia="es-MX"/>
            </w:rPr>
            <w:drawing>
              <wp:inline distT="0" distB="0" distL="0" distR="0">
                <wp:extent cx="4114800" cy="704850"/>
                <wp:effectExtent l="19050" t="0" r="0" b="0"/>
                <wp:docPr id="3" name="Imagen 10" descr="LOGOS INTEGRADOS IJM NACION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 descr="LOGOS INTEGRADOS IJM NACION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2383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1480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noProof/>
              <w:sz w:val="36"/>
              <w:szCs w:val="36"/>
              <w:lang w:eastAsia="es-MX"/>
            </w:rPr>
            <w:drawing>
              <wp:inline distT="0" distB="0" distL="0" distR="0">
                <wp:extent cx="1304925" cy="704850"/>
                <wp:effectExtent l="19050" t="0" r="9525" b="0"/>
                <wp:docPr id="6" name="Imagen 1" descr="C:\Users\instituto mujer\Desktop\Logo J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Users\instituto mujer\Desktop\Logo J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" w:type="dxa"/>
          <w:tcMar>
            <w:left w:w="0" w:type="dxa"/>
            <w:right w:w="0" w:type="dxa"/>
          </w:tcMar>
        </w:tcPr>
        <w:p w:rsidR="00F36D3A" w:rsidRDefault="00F36D3A" w:rsidP="00614336">
          <w:pPr>
            <w:rPr>
              <w:rFonts w:ascii="Arial" w:hAnsi="Arial"/>
              <w:color w:val="000000"/>
              <w:sz w:val="36"/>
            </w:rPr>
          </w:pPr>
        </w:p>
      </w:tc>
      <w:tc>
        <w:tcPr>
          <w:tcW w:w="225" w:type="dxa"/>
          <w:tcMar>
            <w:left w:w="0" w:type="dxa"/>
            <w:right w:w="0" w:type="dxa"/>
          </w:tcMar>
        </w:tcPr>
        <w:p w:rsidR="00F36D3A" w:rsidRDefault="00F36D3A" w:rsidP="00614336">
          <w:pPr>
            <w:jc w:val="center"/>
            <w:rPr>
              <w:rFonts w:ascii="Arial" w:hAnsi="Arial"/>
              <w:color w:val="000000"/>
              <w:sz w:val="36"/>
            </w:rPr>
          </w:pPr>
        </w:p>
        <w:p w:rsidR="00F36D3A" w:rsidRDefault="00F36D3A" w:rsidP="00614336">
          <w:pPr>
            <w:jc w:val="center"/>
            <w:rPr>
              <w:rFonts w:ascii="Arial" w:hAnsi="Arial"/>
              <w:color w:val="000000"/>
              <w:sz w:val="36"/>
            </w:rPr>
          </w:pPr>
        </w:p>
      </w:tc>
    </w:tr>
  </w:tbl>
  <w:p w:rsidR="00F36D3A" w:rsidRDefault="00F36D3A" w:rsidP="006143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7C4"/>
    <w:multiLevelType w:val="hybridMultilevel"/>
    <w:tmpl w:val="38FA28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44CAF"/>
    <w:multiLevelType w:val="hybridMultilevel"/>
    <w:tmpl w:val="41EED8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C6179"/>
    <w:multiLevelType w:val="hybridMultilevel"/>
    <w:tmpl w:val="39D27D0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874D6"/>
    <w:multiLevelType w:val="hybridMultilevel"/>
    <w:tmpl w:val="B00684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266A4"/>
    <w:multiLevelType w:val="hybridMultilevel"/>
    <w:tmpl w:val="EA0093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CC"/>
    <w:rsid w:val="000060BD"/>
    <w:rsid w:val="00007F3E"/>
    <w:rsid w:val="00011595"/>
    <w:rsid w:val="00024D88"/>
    <w:rsid w:val="0003141A"/>
    <w:rsid w:val="000330B0"/>
    <w:rsid w:val="0005483C"/>
    <w:rsid w:val="00055E80"/>
    <w:rsid w:val="00081E4A"/>
    <w:rsid w:val="00082372"/>
    <w:rsid w:val="00097276"/>
    <w:rsid w:val="000A2AED"/>
    <w:rsid w:val="000D5230"/>
    <w:rsid w:val="000D7EB0"/>
    <w:rsid w:val="000E7F27"/>
    <w:rsid w:val="000F3505"/>
    <w:rsid w:val="0010264B"/>
    <w:rsid w:val="00115E14"/>
    <w:rsid w:val="00116BB8"/>
    <w:rsid w:val="00122DC3"/>
    <w:rsid w:val="001274BC"/>
    <w:rsid w:val="00130D1A"/>
    <w:rsid w:val="00132A8F"/>
    <w:rsid w:val="00133B0A"/>
    <w:rsid w:val="001540D4"/>
    <w:rsid w:val="00154E7B"/>
    <w:rsid w:val="00155A73"/>
    <w:rsid w:val="00163A1B"/>
    <w:rsid w:val="001719DD"/>
    <w:rsid w:val="00172B83"/>
    <w:rsid w:val="00187058"/>
    <w:rsid w:val="001A3392"/>
    <w:rsid w:val="001A4B73"/>
    <w:rsid w:val="001A6034"/>
    <w:rsid w:val="001B4F50"/>
    <w:rsid w:val="001B50DC"/>
    <w:rsid w:val="001C58CE"/>
    <w:rsid w:val="001D10CB"/>
    <w:rsid w:val="001D1BCE"/>
    <w:rsid w:val="001D797C"/>
    <w:rsid w:val="001E2A4A"/>
    <w:rsid w:val="001F7138"/>
    <w:rsid w:val="002019CE"/>
    <w:rsid w:val="0020362D"/>
    <w:rsid w:val="00207252"/>
    <w:rsid w:val="00212F1E"/>
    <w:rsid w:val="00223639"/>
    <w:rsid w:val="00226408"/>
    <w:rsid w:val="00242942"/>
    <w:rsid w:val="00242DDB"/>
    <w:rsid w:val="00247531"/>
    <w:rsid w:val="0025418B"/>
    <w:rsid w:val="00260235"/>
    <w:rsid w:val="00265B4C"/>
    <w:rsid w:val="00267095"/>
    <w:rsid w:val="002679D5"/>
    <w:rsid w:val="002772F7"/>
    <w:rsid w:val="002908D1"/>
    <w:rsid w:val="002932B3"/>
    <w:rsid w:val="002A209D"/>
    <w:rsid w:val="002A60F2"/>
    <w:rsid w:val="002B03D0"/>
    <w:rsid w:val="002B5624"/>
    <w:rsid w:val="002C1230"/>
    <w:rsid w:val="002C314E"/>
    <w:rsid w:val="002D5480"/>
    <w:rsid w:val="002E0A03"/>
    <w:rsid w:val="002E496F"/>
    <w:rsid w:val="002E7B9C"/>
    <w:rsid w:val="002F3791"/>
    <w:rsid w:val="003130F0"/>
    <w:rsid w:val="00313325"/>
    <w:rsid w:val="00325458"/>
    <w:rsid w:val="003256B0"/>
    <w:rsid w:val="00333265"/>
    <w:rsid w:val="00337EEF"/>
    <w:rsid w:val="00340338"/>
    <w:rsid w:val="00344D39"/>
    <w:rsid w:val="003462E8"/>
    <w:rsid w:val="00350FD2"/>
    <w:rsid w:val="00357D2D"/>
    <w:rsid w:val="00361D1C"/>
    <w:rsid w:val="00374B3F"/>
    <w:rsid w:val="00380019"/>
    <w:rsid w:val="003875BD"/>
    <w:rsid w:val="00394C4E"/>
    <w:rsid w:val="003A2343"/>
    <w:rsid w:val="003B0A5C"/>
    <w:rsid w:val="003D634F"/>
    <w:rsid w:val="003D76B8"/>
    <w:rsid w:val="003E1ED8"/>
    <w:rsid w:val="003F22EF"/>
    <w:rsid w:val="003F6692"/>
    <w:rsid w:val="004159AB"/>
    <w:rsid w:val="00420B60"/>
    <w:rsid w:val="00425D76"/>
    <w:rsid w:val="00427E3B"/>
    <w:rsid w:val="00434B35"/>
    <w:rsid w:val="00452D84"/>
    <w:rsid w:val="004546FA"/>
    <w:rsid w:val="0048094A"/>
    <w:rsid w:val="00491E79"/>
    <w:rsid w:val="00492297"/>
    <w:rsid w:val="004A1B84"/>
    <w:rsid w:val="004A2036"/>
    <w:rsid w:val="004A3CEE"/>
    <w:rsid w:val="004B2AD9"/>
    <w:rsid w:val="004B718B"/>
    <w:rsid w:val="004C106A"/>
    <w:rsid w:val="004C1243"/>
    <w:rsid w:val="004C539C"/>
    <w:rsid w:val="004D2321"/>
    <w:rsid w:val="004D63B7"/>
    <w:rsid w:val="004E645D"/>
    <w:rsid w:val="004E72CE"/>
    <w:rsid w:val="004F3E6D"/>
    <w:rsid w:val="005109B5"/>
    <w:rsid w:val="005116DA"/>
    <w:rsid w:val="00512F67"/>
    <w:rsid w:val="00517925"/>
    <w:rsid w:val="005212C4"/>
    <w:rsid w:val="00523597"/>
    <w:rsid w:val="00544FA8"/>
    <w:rsid w:val="005523AE"/>
    <w:rsid w:val="00553716"/>
    <w:rsid w:val="00563D0C"/>
    <w:rsid w:val="00575147"/>
    <w:rsid w:val="005759B9"/>
    <w:rsid w:val="00576624"/>
    <w:rsid w:val="005938FF"/>
    <w:rsid w:val="00595D2A"/>
    <w:rsid w:val="00597BDD"/>
    <w:rsid w:val="005B1A16"/>
    <w:rsid w:val="005B5E0A"/>
    <w:rsid w:val="005B697F"/>
    <w:rsid w:val="005B7F80"/>
    <w:rsid w:val="005E02D4"/>
    <w:rsid w:val="005E22F7"/>
    <w:rsid w:val="005E3381"/>
    <w:rsid w:val="005E6E7B"/>
    <w:rsid w:val="00600418"/>
    <w:rsid w:val="00602961"/>
    <w:rsid w:val="00606340"/>
    <w:rsid w:val="00607D41"/>
    <w:rsid w:val="00612939"/>
    <w:rsid w:val="00614336"/>
    <w:rsid w:val="00622A3D"/>
    <w:rsid w:val="00632AD0"/>
    <w:rsid w:val="0064521A"/>
    <w:rsid w:val="00645DFF"/>
    <w:rsid w:val="006613C5"/>
    <w:rsid w:val="00661A22"/>
    <w:rsid w:val="006623A8"/>
    <w:rsid w:val="00663F51"/>
    <w:rsid w:val="006705B1"/>
    <w:rsid w:val="00680E58"/>
    <w:rsid w:val="0068350A"/>
    <w:rsid w:val="006904F3"/>
    <w:rsid w:val="006A4279"/>
    <w:rsid w:val="006B4449"/>
    <w:rsid w:val="006B446D"/>
    <w:rsid w:val="006C421B"/>
    <w:rsid w:val="006D33B5"/>
    <w:rsid w:val="00712CA6"/>
    <w:rsid w:val="007219B5"/>
    <w:rsid w:val="00722A09"/>
    <w:rsid w:val="007242F1"/>
    <w:rsid w:val="007314C0"/>
    <w:rsid w:val="00732EEE"/>
    <w:rsid w:val="00734BD3"/>
    <w:rsid w:val="00744685"/>
    <w:rsid w:val="00781989"/>
    <w:rsid w:val="007840E9"/>
    <w:rsid w:val="00784590"/>
    <w:rsid w:val="007A1F56"/>
    <w:rsid w:val="007A291A"/>
    <w:rsid w:val="007A3988"/>
    <w:rsid w:val="007A4B13"/>
    <w:rsid w:val="007B18E3"/>
    <w:rsid w:val="007B31C5"/>
    <w:rsid w:val="007C14A7"/>
    <w:rsid w:val="007D23C4"/>
    <w:rsid w:val="007E126B"/>
    <w:rsid w:val="007E48CF"/>
    <w:rsid w:val="007F0A5A"/>
    <w:rsid w:val="00800C53"/>
    <w:rsid w:val="008029B9"/>
    <w:rsid w:val="008064CF"/>
    <w:rsid w:val="00812911"/>
    <w:rsid w:val="008166C6"/>
    <w:rsid w:val="008262CC"/>
    <w:rsid w:val="00847545"/>
    <w:rsid w:val="00847691"/>
    <w:rsid w:val="00854327"/>
    <w:rsid w:val="00857EFF"/>
    <w:rsid w:val="008732B9"/>
    <w:rsid w:val="0088207B"/>
    <w:rsid w:val="008857CC"/>
    <w:rsid w:val="00890FA9"/>
    <w:rsid w:val="00897C4B"/>
    <w:rsid w:val="008A222F"/>
    <w:rsid w:val="008C2E6C"/>
    <w:rsid w:val="008C38A9"/>
    <w:rsid w:val="008D0757"/>
    <w:rsid w:val="008D0A2C"/>
    <w:rsid w:val="008E5985"/>
    <w:rsid w:val="008E7685"/>
    <w:rsid w:val="008F4221"/>
    <w:rsid w:val="008F53CF"/>
    <w:rsid w:val="00900842"/>
    <w:rsid w:val="00902FC3"/>
    <w:rsid w:val="00903623"/>
    <w:rsid w:val="0091530B"/>
    <w:rsid w:val="00917A47"/>
    <w:rsid w:val="00921C15"/>
    <w:rsid w:val="009273B7"/>
    <w:rsid w:val="0094280D"/>
    <w:rsid w:val="0094314B"/>
    <w:rsid w:val="009665BB"/>
    <w:rsid w:val="00977230"/>
    <w:rsid w:val="00982843"/>
    <w:rsid w:val="009910EE"/>
    <w:rsid w:val="0099638D"/>
    <w:rsid w:val="00996CBC"/>
    <w:rsid w:val="009C67A3"/>
    <w:rsid w:val="009D4F26"/>
    <w:rsid w:val="009E1BF7"/>
    <w:rsid w:val="009E2C86"/>
    <w:rsid w:val="009F2693"/>
    <w:rsid w:val="009F7839"/>
    <w:rsid w:val="00A00FFE"/>
    <w:rsid w:val="00A109B8"/>
    <w:rsid w:val="00A10A9D"/>
    <w:rsid w:val="00A11B2D"/>
    <w:rsid w:val="00A17BED"/>
    <w:rsid w:val="00A17E94"/>
    <w:rsid w:val="00A32927"/>
    <w:rsid w:val="00A34600"/>
    <w:rsid w:val="00A44BFB"/>
    <w:rsid w:val="00A456F7"/>
    <w:rsid w:val="00A649D1"/>
    <w:rsid w:val="00A7060E"/>
    <w:rsid w:val="00A73C77"/>
    <w:rsid w:val="00A85DA0"/>
    <w:rsid w:val="00A86366"/>
    <w:rsid w:val="00A86611"/>
    <w:rsid w:val="00A94F3B"/>
    <w:rsid w:val="00A97F3A"/>
    <w:rsid w:val="00AB1A5B"/>
    <w:rsid w:val="00AB691C"/>
    <w:rsid w:val="00AB6AE1"/>
    <w:rsid w:val="00AC1010"/>
    <w:rsid w:val="00AC3E65"/>
    <w:rsid w:val="00AD39F5"/>
    <w:rsid w:val="00AE3D75"/>
    <w:rsid w:val="00AE6063"/>
    <w:rsid w:val="00B048C9"/>
    <w:rsid w:val="00B140D7"/>
    <w:rsid w:val="00B15F78"/>
    <w:rsid w:val="00B21A90"/>
    <w:rsid w:val="00B2757D"/>
    <w:rsid w:val="00B27D1F"/>
    <w:rsid w:val="00B46F78"/>
    <w:rsid w:val="00B50630"/>
    <w:rsid w:val="00B611D9"/>
    <w:rsid w:val="00B65D13"/>
    <w:rsid w:val="00B70794"/>
    <w:rsid w:val="00B72A3D"/>
    <w:rsid w:val="00B7745C"/>
    <w:rsid w:val="00B8363A"/>
    <w:rsid w:val="00B9467B"/>
    <w:rsid w:val="00BA5747"/>
    <w:rsid w:val="00BA6F18"/>
    <w:rsid w:val="00BB42DA"/>
    <w:rsid w:val="00BB78A9"/>
    <w:rsid w:val="00BB7D9B"/>
    <w:rsid w:val="00BD1BB6"/>
    <w:rsid w:val="00BD7683"/>
    <w:rsid w:val="00BE25CD"/>
    <w:rsid w:val="00BE60D2"/>
    <w:rsid w:val="00BE7B6D"/>
    <w:rsid w:val="00BF21D8"/>
    <w:rsid w:val="00BF3FBB"/>
    <w:rsid w:val="00BF53BD"/>
    <w:rsid w:val="00C02BDC"/>
    <w:rsid w:val="00C0535C"/>
    <w:rsid w:val="00C107DF"/>
    <w:rsid w:val="00C10DAE"/>
    <w:rsid w:val="00C14DDC"/>
    <w:rsid w:val="00C25A2F"/>
    <w:rsid w:val="00C27EB5"/>
    <w:rsid w:val="00C43F2C"/>
    <w:rsid w:val="00C466D1"/>
    <w:rsid w:val="00C54691"/>
    <w:rsid w:val="00C9377C"/>
    <w:rsid w:val="00C9469A"/>
    <w:rsid w:val="00C95B81"/>
    <w:rsid w:val="00CC463A"/>
    <w:rsid w:val="00CE085B"/>
    <w:rsid w:val="00CE63D3"/>
    <w:rsid w:val="00CE6E67"/>
    <w:rsid w:val="00CF1482"/>
    <w:rsid w:val="00CF40E1"/>
    <w:rsid w:val="00D02C12"/>
    <w:rsid w:val="00D06D58"/>
    <w:rsid w:val="00D141C5"/>
    <w:rsid w:val="00D2383E"/>
    <w:rsid w:val="00D300AB"/>
    <w:rsid w:val="00D41B99"/>
    <w:rsid w:val="00D43252"/>
    <w:rsid w:val="00D46DD6"/>
    <w:rsid w:val="00D50E9E"/>
    <w:rsid w:val="00D52232"/>
    <w:rsid w:val="00D64C55"/>
    <w:rsid w:val="00D83196"/>
    <w:rsid w:val="00D83ADA"/>
    <w:rsid w:val="00D87843"/>
    <w:rsid w:val="00D91F89"/>
    <w:rsid w:val="00D93B12"/>
    <w:rsid w:val="00DA1D6F"/>
    <w:rsid w:val="00DA2035"/>
    <w:rsid w:val="00DA4A81"/>
    <w:rsid w:val="00DA6CD4"/>
    <w:rsid w:val="00DA7E0C"/>
    <w:rsid w:val="00DB2CAC"/>
    <w:rsid w:val="00DB61C9"/>
    <w:rsid w:val="00DD0AA6"/>
    <w:rsid w:val="00DD2F17"/>
    <w:rsid w:val="00DD4C93"/>
    <w:rsid w:val="00DE2260"/>
    <w:rsid w:val="00DF0307"/>
    <w:rsid w:val="00DF32ED"/>
    <w:rsid w:val="00DF38E1"/>
    <w:rsid w:val="00DF4DF8"/>
    <w:rsid w:val="00E1489F"/>
    <w:rsid w:val="00E2525A"/>
    <w:rsid w:val="00E30C11"/>
    <w:rsid w:val="00E37ECD"/>
    <w:rsid w:val="00E41AC8"/>
    <w:rsid w:val="00E53CBF"/>
    <w:rsid w:val="00E6611D"/>
    <w:rsid w:val="00E81F2B"/>
    <w:rsid w:val="00E90B28"/>
    <w:rsid w:val="00E90B5B"/>
    <w:rsid w:val="00E94F8E"/>
    <w:rsid w:val="00E97542"/>
    <w:rsid w:val="00EA0BBD"/>
    <w:rsid w:val="00EA32E0"/>
    <w:rsid w:val="00EC6F11"/>
    <w:rsid w:val="00EC774F"/>
    <w:rsid w:val="00ED2ED6"/>
    <w:rsid w:val="00EE0DCF"/>
    <w:rsid w:val="00EE109B"/>
    <w:rsid w:val="00EF2B87"/>
    <w:rsid w:val="00EF735A"/>
    <w:rsid w:val="00F03609"/>
    <w:rsid w:val="00F0618E"/>
    <w:rsid w:val="00F14AC5"/>
    <w:rsid w:val="00F30391"/>
    <w:rsid w:val="00F32D99"/>
    <w:rsid w:val="00F36D3A"/>
    <w:rsid w:val="00F43C34"/>
    <w:rsid w:val="00F46C13"/>
    <w:rsid w:val="00F531FF"/>
    <w:rsid w:val="00F64C3E"/>
    <w:rsid w:val="00F757F8"/>
    <w:rsid w:val="00F802AA"/>
    <w:rsid w:val="00F87933"/>
    <w:rsid w:val="00F93287"/>
    <w:rsid w:val="00FA15B3"/>
    <w:rsid w:val="00FB131E"/>
    <w:rsid w:val="00FB53F2"/>
    <w:rsid w:val="00FB5718"/>
    <w:rsid w:val="00FC3D9B"/>
    <w:rsid w:val="00FC6366"/>
    <w:rsid w:val="00FC6F8D"/>
    <w:rsid w:val="00FD06F6"/>
    <w:rsid w:val="00FD299D"/>
    <w:rsid w:val="00FD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978121"/>
  <w15:docId w15:val="{1D37035F-DA2D-45B6-89FB-69B4E6A5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2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57CC"/>
    <w:pPr>
      <w:tabs>
        <w:tab w:val="center" w:pos="4419"/>
        <w:tab w:val="right" w:pos="8838"/>
      </w:tabs>
      <w:spacing w:after="0" w:line="240" w:lineRule="auto"/>
    </w:pPr>
    <w:rPr>
      <w:rFonts w:eastAsiaTheme="minorEastAsia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8857C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5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7CC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42D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DDB"/>
  </w:style>
  <w:style w:type="paragraph" w:styleId="Prrafodelista">
    <w:name w:val="List Paragraph"/>
    <w:basedOn w:val="Normal"/>
    <w:uiPriority w:val="34"/>
    <w:qFormat/>
    <w:rsid w:val="00DF38E1"/>
    <w:pPr>
      <w:ind w:left="720"/>
      <w:contextualSpacing/>
    </w:pPr>
  </w:style>
  <w:style w:type="table" w:styleId="Tablaconcuadrcula">
    <w:name w:val="Table Grid"/>
    <w:basedOn w:val="Tablanormal"/>
    <w:uiPriority w:val="59"/>
    <w:rsid w:val="00DA7E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0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1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4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5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ASISTENTES TALLERES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Asistentes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Hoja1!$A$2:$A$3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62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09-4421-B085-E1E6DF98B4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5568896"/>
        <c:axId val="139034624"/>
        <c:axId val="0"/>
      </c:bar3DChart>
      <c:catAx>
        <c:axId val="135568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9034624"/>
        <c:crosses val="autoZero"/>
        <c:auto val="1"/>
        <c:lblAlgn val="ctr"/>
        <c:lblOffset val="100"/>
        <c:noMultiLvlLbl val="0"/>
      </c:catAx>
      <c:valAx>
        <c:axId val="139034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5568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ASESORÍAS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Jurídicas</c:v>
                </c:pt>
                <c:pt idx="1">
                  <c:v>Psicológicas</c:v>
                </c:pt>
                <c:pt idx="2">
                  <c:v>Trabajo Social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32-4112-B4E5-F5EFB48B42B2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Jurídicas</c:v>
                </c:pt>
                <c:pt idx="1">
                  <c:v>Psicológicas</c:v>
                </c:pt>
                <c:pt idx="2">
                  <c:v>Trabajo Social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D32-4112-B4E5-F5EFB48B42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37917440"/>
        <c:axId val="623158400"/>
      </c:barChart>
      <c:catAx>
        <c:axId val="1379174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623158400"/>
        <c:crosses val="autoZero"/>
        <c:auto val="1"/>
        <c:lblAlgn val="ctr"/>
        <c:lblOffset val="100"/>
        <c:noMultiLvlLbl val="0"/>
      </c:catAx>
      <c:valAx>
        <c:axId val="6231584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791744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zero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ACTVIDAD 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Hogar</c:v>
                </c:pt>
                <c:pt idx="1">
                  <c:v>Empleada/o</c:v>
                </c:pt>
                <c:pt idx="2">
                  <c:v>Comerciante</c:v>
                </c:pt>
                <c:pt idx="3">
                  <c:v>Estudiante</c:v>
                </c:pt>
                <c:pt idx="4">
                  <c:v>Negocio propio</c:v>
                </c:pt>
                <c:pt idx="5">
                  <c:v>Desempleada/o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2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1B-41B4-AFEC-DA2F73569F92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Hogar</c:v>
                </c:pt>
                <c:pt idx="1">
                  <c:v>Empleada/o</c:v>
                </c:pt>
                <c:pt idx="2">
                  <c:v>Comerciante</c:v>
                </c:pt>
                <c:pt idx="3">
                  <c:v>Estudiante</c:v>
                </c:pt>
                <c:pt idx="4">
                  <c:v>Negocio propio</c:v>
                </c:pt>
                <c:pt idx="5">
                  <c:v>Desempleada/o</c:v>
                </c:pt>
              </c:strCache>
            </c:strRef>
          </c:cat>
          <c:val>
            <c:numRef>
              <c:f>Hoja1!$C$2:$C$7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11B-41B4-AFEC-DA2F73569F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23392768"/>
        <c:axId val="623160128"/>
      </c:barChart>
      <c:catAx>
        <c:axId val="623392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3160128"/>
        <c:crosses val="autoZero"/>
        <c:auto val="1"/>
        <c:lblAlgn val="ctr"/>
        <c:lblOffset val="100"/>
        <c:noMultiLvlLbl val="0"/>
      </c:catAx>
      <c:valAx>
        <c:axId val="62316012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2339276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LOCALIDAD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Mezquitic</c:v>
                </c:pt>
                <c:pt idx="1">
                  <c:v>Pueblo Nuevo</c:v>
                </c:pt>
                <c:pt idx="2">
                  <c:v>San Sebastián Tep.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53-4769-AC85-76D60273808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Mezquitic</c:v>
                </c:pt>
                <c:pt idx="1">
                  <c:v>Pueblo Nuevo</c:v>
                </c:pt>
                <c:pt idx="2">
                  <c:v>San Sebastián Tep.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453-4769-AC85-76D6027380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623315456"/>
        <c:axId val="623161856"/>
      </c:barChart>
      <c:catAx>
        <c:axId val="6233154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623161856"/>
        <c:crosses val="autoZero"/>
        <c:auto val="1"/>
        <c:lblAlgn val="ctr"/>
        <c:lblOffset val="100"/>
        <c:noMultiLvlLbl val="0"/>
      </c:catAx>
      <c:valAx>
        <c:axId val="6231618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2331545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ESTADO CIVÍL 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Casada/o</c:v>
                </c:pt>
                <c:pt idx="1">
                  <c:v>Soltera/o</c:v>
                </c:pt>
                <c:pt idx="2">
                  <c:v>Divorciada/o</c:v>
                </c:pt>
                <c:pt idx="3">
                  <c:v>Viuda/o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B41-4513-8CD0-93258F6E044C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Casada/o</c:v>
                </c:pt>
                <c:pt idx="1">
                  <c:v>Soltera/o</c:v>
                </c:pt>
                <c:pt idx="2">
                  <c:v>Divorciada/o</c:v>
                </c:pt>
                <c:pt idx="3">
                  <c:v>Viuda/o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B41-4513-8CD0-93258F6E04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4020480"/>
        <c:axId val="623163584"/>
        <c:axId val="0"/>
      </c:bar3DChart>
      <c:catAx>
        <c:axId val="624020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3163584"/>
        <c:crosses val="autoZero"/>
        <c:auto val="1"/>
        <c:lblAlgn val="ctr"/>
        <c:lblOffset val="100"/>
        <c:noMultiLvlLbl val="0"/>
      </c:catAx>
      <c:valAx>
        <c:axId val="6231635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2402048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RANGO DE EDAD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Menor 15 años</c:v>
                </c:pt>
                <c:pt idx="1">
                  <c:v>15 a 29 años </c:v>
                </c:pt>
                <c:pt idx="2">
                  <c:v>30 a 44 años </c:v>
                </c:pt>
                <c:pt idx="3">
                  <c:v>45 a 59 años </c:v>
                </c:pt>
                <c:pt idx="4">
                  <c:v>60 y más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6E-43D4-8D9D-6EF111AACB97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Menor 15 años</c:v>
                </c:pt>
                <c:pt idx="1">
                  <c:v>15 a 29 años </c:v>
                </c:pt>
                <c:pt idx="2">
                  <c:v>30 a 44 años </c:v>
                </c:pt>
                <c:pt idx="3">
                  <c:v>45 a 59 años </c:v>
                </c:pt>
                <c:pt idx="4">
                  <c:v>60 y más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6E-43D4-8D9D-6EF111AACB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37953280"/>
        <c:axId val="623943680"/>
      </c:barChart>
      <c:catAx>
        <c:axId val="137953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3943680"/>
        <c:crosses val="autoZero"/>
        <c:auto val="1"/>
        <c:lblAlgn val="ctr"/>
        <c:lblOffset val="100"/>
        <c:noMultiLvlLbl val="0"/>
      </c:catAx>
      <c:valAx>
        <c:axId val="6239436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795328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TIPO DE VIOLENCIA 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Psicológica</c:v>
                </c:pt>
                <c:pt idx="1">
                  <c:v>Física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FD-4D43-9340-DCAAD058C19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Psicológica</c:v>
                </c:pt>
                <c:pt idx="1">
                  <c:v>Física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DFD-4D43-9340-DCAAD058C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4329728"/>
        <c:axId val="623945408"/>
        <c:axId val="0"/>
      </c:bar3DChart>
      <c:catAx>
        <c:axId val="624329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3945408"/>
        <c:crosses val="autoZero"/>
        <c:auto val="1"/>
        <c:lblAlgn val="ctr"/>
        <c:lblOffset val="100"/>
        <c:noMultiLvlLbl val="0"/>
      </c:catAx>
      <c:valAx>
        <c:axId val="6239454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2432972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MODALIDAD DE LA VIOLENCIA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Familiar</c:v>
                </c:pt>
                <c:pt idx="1">
                  <c:v>Docente</c:v>
                </c:pt>
                <c:pt idx="2">
                  <c:v>Laboral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D4-4549-83EC-0F1DE2E2C55C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Familiar</c:v>
                </c:pt>
                <c:pt idx="1">
                  <c:v>Docente</c:v>
                </c:pt>
                <c:pt idx="2">
                  <c:v>Laboral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</c:strCache>
            </c:strRef>
          </c:cat>
          <c:val>
            <c:numRef>
              <c:f>Hoja1!$C$2:$C$7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D4-4549-83EC-0F1DE2E2C5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7954304"/>
        <c:axId val="623947136"/>
        <c:axId val="0"/>
      </c:bar3DChart>
      <c:catAx>
        <c:axId val="137954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3947136"/>
        <c:crosses val="autoZero"/>
        <c:auto val="1"/>
        <c:lblAlgn val="ctr"/>
        <c:lblOffset val="100"/>
        <c:noMultiLvlLbl val="0"/>
      </c:catAx>
      <c:valAx>
        <c:axId val="62394713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795430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RANGO DE EDAD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17</c:v>
                </c:pt>
                <c:pt idx="2">
                  <c:v>27</c:v>
                </c:pt>
                <c:pt idx="3">
                  <c:v>14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D0-45B9-AB61-C59C0E06F56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F1-44E0-A6BB-8428F9B525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7955840"/>
        <c:axId val="139036352"/>
        <c:axId val="0"/>
      </c:bar3DChart>
      <c:catAx>
        <c:axId val="137955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9036352"/>
        <c:crosses val="autoZero"/>
        <c:auto val="1"/>
        <c:lblAlgn val="ctr"/>
        <c:lblOffset val="100"/>
        <c:noMultiLvlLbl val="0"/>
      </c:catAx>
      <c:valAx>
        <c:axId val="139036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79558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ASISTENTES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Asistentes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Hoja1!$A$2:$A$3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31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AF-4E8F-BE99-47B3FB5B6F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3391744"/>
        <c:axId val="139039808"/>
        <c:axId val="0"/>
      </c:bar3DChart>
      <c:catAx>
        <c:axId val="623391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9039808"/>
        <c:crosses val="autoZero"/>
        <c:auto val="1"/>
        <c:lblAlgn val="ctr"/>
        <c:lblOffset val="100"/>
        <c:noMultiLvlLbl val="0"/>
      </c:catAx>
      <c:valAx>
        <c:axId val="139039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23391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RANGO DE EDAD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 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15</c:v>
                </c:pt>
                <c:pt idx="3">
                  <c:v>9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9C-4BFC-BD7D-BC5C189F70F4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 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D5-42D0-B4D3-80C9271DE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7916416"/>
        <c:axId val="139041536"/>
        <c:axId val="0"/>
      </c:bar3DChart>
      <c:catAx>
        <c:axId val="137916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9041536"/>
        <c:crosses val="autoZero"/>
        <c:auto val="1"/>
        <c:lblAlgn val="ctr"/>
        <c:lblOffset val="100"/>
        <c:noMultiLvlLbl val="0"/>
      </c:catAx>
      <c:valAx>
        <c:axId val="139041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791641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ASISTENTES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Asistentes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Hoja1!$A$2:$A$3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17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AF-4E8F-BE99-47B3FB5B6F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3393792"/>
        <c:axId val="581804608"/>
        <c:axId val="0"/>
      </c:bar3DChart>
      <c:catAx>
        <c:axId val="623393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81804608"/>
        <c:crosses val="autoZero"/>
        <c:auto val="1"/>
        <c:lblAlgn val="ctr"/>
        <c:lblOffset val="100"/>
        <c:noMultiLvlLbl val="0"/>
      </c:catAx>
      <c:valAx>
        <c:axId val="581804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23393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RANGO DE EDAD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9</c:v>
                </c:pt>
                <c:pt idx="2">
                  <c:v>6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D0-45B9-AB61-C59C0E06F56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73-41E7-905A-6D1AC3A396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3393280"/>
        <c:axId val="581806336"/>
        <c:axId val="0"/>
      </c:bar3DChart>
      <c:catAx>
        <c:axId val="623393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81806336"/>
        <c:crosses val="autoZero"/>
        <c:auto val="1"/>
        <c:lblAlgn val="ctr"/>
        <c:lblOffset val="100"/>
        <c:noMultiLvlLbl val="0"/>
      </c:catAx>
      <c:valAx>
        <c:axId val="581806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233932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ASISTENTES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Asistentes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Hoja1!$A$2:$A$3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14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AF-4E8F-BE99-47B3FB5B6F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3392256"/>
        <c:axId val="581808064"/>
        <c:axId val="0"/>
      </c:bar3DChart>
      <c:catAx>
        <c:axId val="62339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81808064"/>
        <c:crosses val="autoZero"/>
        <c:auto val="1"/>
        <c:lblAlgn val="ctr"/>
        <c:lblOffset val="100"/>
        <c:noMultiLvlLbl val="0"/>
      </c:catAx>
      <c:valAx>
        <c:axId val="581808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23392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RANGO DE EDAD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6</c:v>
                </c:pt>
                <c:pt idx="3">
                  <c:v>3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D0-45B9-AB61-C59C0E06F56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cat>
            <c:strRef>
              <c:f>Hoja1!$A$2:$A$6</c:f>
              <c:strCache>
                <c:ptCount val="5"/>
                <c:pt idx="0">
                  <c:v>Menor de 15 años</c:v>
                </c:pt>
                <c:pt idx="1">
                  <c:v>15 a 29 años</c:v>
                </c:pt>
                <c:pt idx="2">
                  <c:v>30 a 44 años </c:v>
                </c:pt>
                <c:pt idx="3">
                  <c:v>45 a 59 años</c:v>
                </c:pt>
                <c:pt idx="4">
                  <c:v>60 y más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C8-4CE8-87CD-B713C0C3CF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3313920"/>
        <c:axId val="581809792"/>
        <c:axId val="0"/>
      </c:bar3DChart>
      <c:catAx>
        <c:axId val="623313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81809792"/>
        <c:crosses val="autoZero"/>
        <c:auto val="1"/>
        <c:lblAlgn val="ctr"/>
        <c:lblOffset val="100"/>
        <c:noMultiLvlLbl val="0"/>
      </c:catAx>
      <c:valAx>
        <c:axId val="581809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2331392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SEXO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Atenciones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3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59-4F10-88FC-90DC5369D8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7917952"/>
        <c:axId val="581811520"/>
        <c:axId val="0"/>
      </c:bar3DChart>
      <c:catAx>
        <c:axId val="137917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81811520"/>
        <c:crosses val="autoZero"/>
        <c:auto val="1"/>
        <c:lblAlgn val="ctr"/>
        <c:lblOffset val="100"/>
        <c:noMultiLvlLbl val="0"/>
      </c:catAx>
      <c:valAx>
        <c:axId val="581811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91795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12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0D22-2B98-49A7-9BF3-5C955231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1758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IJM1</dc:creator>
  <cp:lastModifiedBy>HP</cp:lastModifiedBy>
  <cp:revision>3</cp:revision>
  <dcterms:created xsi:type="dcterms:W3CDTF">2018-10-29T16:14:00Z</dcterms:created>
  <dcterms:modified xsi:type="dcterms:W3CDTF">2018-10-30T16:28:00Z</dcterms:modified>
</cp:coreProperties>
</file>